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DE918B5" w14:textId="77777777" w:rsidTr="00F566DD">
        <w:tc>
          <w:tcPr>
            <w:tcW w:w="9778" w:type="dxa"/>
          </w:tcPr>
          <w:p w14:paraId="7602A10B" w14:textId="00F849AE" w:rsidR="00F566DD" w:rsidRDefault="00F566DD" w:rsidP="00F566DD">
            <w:r w:rsidRPr="00D51A70">
              <w:rPr>
                <w:b/>
              </w:rPr>
              <w:t>Uddannelse</w:t>
            </w:r>
            <w:r w:rsidR="00841344">
              <w:t>:</w:t>
            </w:r>
            <w:r>
              <w:t xml:space="preserve"> </w:t>
            </w:r>
            <w:r w:rsidR="00E22C47">
              <w:t>VVS</w:t>
            </w:r>
          </w:p>
        </w:tc>
      </w:tr>
      <w:tr w:rsidR="00F566DD" w14:paraId="52693FB0" w14:textId="77777777" w:rsidTr="00F566DD">
        <w:tc>
          <w:tcPr>
            <w:tcW w:w="9778" w:type="dxa"/>
          </w:tcPr>
          <w:p w14:paraId="65761F2E" w14:textId="388A70CE" w:rsidR="00D51A70" w:rsidRPr="00E82521" w:rsidRDefault="00D51A70" w:rsidP="00D51A70">
            <w:pPr>
              <w:rPr>
                <w:b/>
              </w:rPr>
            </w:pPr>
            <w:r w:rsidRPr="00E82521">
              <w:rPr>
                <w:b/>
              </w:rPr>
              <w:t>Fagets formål</w:t>
            </w:r>
          </w:p>
          <w:p w14:paraId="56CE5119" w14:textId="473BB3E7" w:rsidR="00F566DD" w:rsidRDefault="00D51A70" w:rsidP="00F566DD">
            <w:r w:rsidRPr="00E82521">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 grundlag for videre uddannelse.</w:t>
            </w:r>
          </w:p>
          <w:p w14:paraId="440A18E1" w14:textId="77777777" w:rsidR="00F566DD" w:rsidRDefault="00F566DD" w:rsidP="00F566DD"/>
        </w:tc>
      </w:tr>
      <w:tr w:rsidR="00F566DD" w14:paraId="633843DC" w14:textId="77777777" w:rsidTr="00F566DD">
        <w:tc>
          <w:tcPr>
            <w:tcW w:w="9778" w:type="dxa"/>
          </w:tcPr>
          <w:p w14:paraId="2ABD1583" w14:textId="154C67D3" w:rsidR="00B4723A" w:rsidRDefault="00F566DD" w:rsidP="00B4723A">
            <w:r w:rsidRPr="00D51A70">
              <w:rPr>
                <w:b/>
              </w:rPr>
              <w:t>Fagintegration</w:t>
            </w:r>
          </w:p>
          <w:p w14:paraId="32EEFC83" w14:textId="77777777" w:rsidR="00E61E1D" w:rsidRDefault="00E61E1D" w:rsidP="00E61E1D">
            <w:r>
              <w:t xml:space="preserve">Eleverne vil opleve, at arbejdet med de matematikfaglige emner og moduler tager afsæt i tematikker, der er genkendelige fra </w:t>
            </w:r>
            <w:r w:rsidR="00B56B98">
              <w:t xml:space="preserve">deres fag. </w:t>
            </w:r>
            <w:r>
              <w:t xml:space="preserve"> </w:t>
            </w:r>
          </w:p>
          <w:p w14:paraId="1559F0BB" w14:textId="77777777" w:rsidR="00B4723A" w:rsidRDefault="00B4723A" w:rsidP="00B4723A">
            <w:pPr>
              <w:pStyle w:val="Listeafsnit"/>
              <w:numPr>
                <w:ilvl w:val="0"/>
                <w:numId w:val="1"/>
              </w:numPr>
            </w:pPr>
            <w:r>
              <w:t xml:space="preserve">Mål og vægt tager eksempelvis afsæt i de materialer og tolerancer, der sædvanligvis arbejdes med inden for </w:t>
            </w:r>
            <w:r w:rsidR="00876ECA">
              <w:t>VVS- og blikkenslagerfaget</w:t>
            </w:r>
            <w:r>
              <w:t>.</w:t>
            </w:r>
          </w:p>
          <w:p w14:paraId="3674DFD2" w14:textId="77777777" w:rsidR="00045B58" w:rsidRDefault="00045B58" w:rsidP="00B4723A">
            <w:pPr>
              <w:pStyle w:val="Listeafsnit"/>
              <w:numPr>
                <w:ilvl w:val="0"/>
                <w:numId w:val="1"/>
              </w:numPr>
            </w:pPr>
            <w:r>
              <w:t>Der arbejdes med b</w:t>
            </w:r>
            <w:r w:rsidR="00B4723A">
              <w:t xml:space="preserve">røker </w:t>
            </w:r>
            <w:r>
              <w:t>som afsæt til regning med procenter og som middel til beskrivelse af kvantitative størrelser</w:t>
            </w:r>
            <w:r w:rsidR="00C340F5">
              <w:t xml:space="preserve"> (”jeg har vel udført et sted mellem 1/3 og ½ delen”) </w:t>
            </w:r>
          </w:p>
          <w:p w14:paraId="3CBB435F" w14:textId="77777777" w:rsidR="00B4723A" w:rsidRDefault="00045B58" w:rsidP="00B4723A">
            <w:pPr>
              <w:pStyle w:val="Listeafsnit"/>
              <w:numPr>
                <w:ilvl w:val="0"/>
                <w:numId w:val="1"/>
              </w:numPr>
            </w:pPr>
            <w:r>
              <w:t>Måles</w:t>
            </w:r>
            <w:r w:rsidR="00B4723A">
              <w:t xml:space="preserve">toksforhold integreres i forståelsen af </w:t>
            </w:r>
            <w:r>
              <w:t>udførelse af- og læsning af fagtegninger</w:t>
            </w:r>
            <w:r w:rsidR="00B4723A">
              <w:t>.</w:t>
            </w:r>
          </w:p>
          <w:p w14:paraId="7714634F" w14:textId="77777777" w:rsidR="00B4723A" w:rsidRDefault="00B4723A" w:rsidP="00B4723A">
            <w:pPr>
              <w:pStyle w:val="Listeafsnit"/>
              <w:numPr>
                <w:ilvl w:val="0"/>
                <w:numId w:val="1"/>
              </w:numPr>
            </w:pPr>
            <w:r>
              <w:t xml:space="preserve">Procenter integreres i forståelse af rabat, fortjeneste, </w:t>
            </w:r>
            <w:r w:rsidR="006275E8">
              <w:t>materialespild m.v.</w:t>
            </w:r>
          </w:p>
          <w:p w14:paraId="6432B8B2" w14:textId="77777777" w:rsidR="00B4723A" w:rsidRDefault="00B4723A" w:rsidP="00B4723A">
            <w:pPr>
              <w:pStyle w:val="Listeafsnit"/>
              <w:numPr>
                <w:ilvl w:val="0"/>
                <w:numId w:val="1"/>
              </w:numPr>
            </w:pPr>
            <w:r>
              <w:t>Arealer, rumfang og vægt integreres i elementære materialeberegninger inden for faget</w:t>
            </w:r>
          </w:p>
          <w:p w14:paraId="08E46D31" w14:textId="77777777" w:rsidR="00F566DD" w:rsidRDefault="00B4723A" w:rsidP="006275E8">
            <w:pPr>
              <w:pStyle w:val="Listeafsnit"/>
              <w:numPr>
                <w:ilvl w:val="0"/>
                <w:numId w:val="1"/>
              </w:numPr>
            </w:pPr>
            <w:r>
              <w:t xml:space="preserve">Geometri- og trekantberegninger integreres eksempelvis i </w:t>
            </w:r>
            <w:r w:rsidR="006275E8">
              <w:t xml:space="preserve">mål- og materialeberegninger på </w:t>
            </w:r>
            <w:r w:rsidR="00703CBF">
              <w:t>primært blikkenslager</w:t>
            </w:r>
            <w:r w:rsidR="00CD5B63">
              <w:t xml:space="preserve"> opgaver</w:t>
            </w:r>
            <w:r w:rsidR="00703CBF">
              <w:t xml:space="preserve"> </w:t>
            </w:r>
          </w:p>
          <w:p w14:paraId="3E3DB330" w14:textId="77777777" w:rsidR="006275E8" w:rsidRDefault="006275E8" w:rsidP="006275E8">
            <w:pPr>
              <w:pStyle w:val="Listeafsnit"/>
              <w:numPr>
                <w:ilvl w:val="0"/>
                <w:numId w:val="1"/>
              </w:numPr>
            </w:pPr>
            <w:r>
              <w:t xml:space="preserve">Funktioner </w:t>
            </w:r>
            <w:r w:rsidR="0005246E">
              <w:t xml:space="preserve">præsenteres bl.a. som et middel til at træffe kvalificerede </w:t>
            </w:r>
            <w:r w:rsidR="00F62A84">
              <w:t>valg mellem flere alternativer - eks. valg af abonnements- eller afregningsordning.</w:t>
            </w:r>
          </w:p>
          <w:p w14:paraId="60100FBA" w14:textId="1CF7E499" w:rsidR="00045B58" w:rsidRDefault="00C340F5" w:rsidP="0005246E">
            <w:pPr>
              <w:pStyle w:val="Listeafsnit"/>
              <w:numPr>
                <w:ilvl w:val="0"/>
                <w:numId w:val="1"/>
              </w:numPr>
            </w:pPr>
            <w:r>
              <w:t xml:space="preserve">I arbejdet med rentesregning introduceres eleverne </w:t>
            </w:r>
            <w:r w:rsidR="0005246E">
              <w:t>til økonomiske begreber, der anvendes i såvel private som i erhvervsfaglige sammenhænge - eksempelvis fr</w:t>
            </w:r>
            <w:r w:rsidR="00F62A84">
              <w:t xml:space="preserve">emskrivningsfaktor, terminer, </w:t>
            </w:r>
            <w:r w:rsidR="0005246E">
              <w:t>pro ann</w:t>
            </w:r>
            <w:r w:rsidR="00F62A84">
              <w:t xml:space="preserve">o m.v. </w:t>
            </w:r>
          </w:p>
        </w:tc>
      </w:tr>
      <w:tr w:rsidR="00F566DD" w14:paraId="32027E1A" w14:textId="77777777" w:rsidTr="00F566DD">
        <w:tc>
          <w:tcPr>
            <w:tcW w:w="9778" w:type="dxa"/>
          </w:tcPr>
          <w:p w14:paraId="00904157" w14:textId="7ECD3008" w:rsidR="00F566DD" w:rsidRPr="00597C15" w:rsidRDefault="00F566DD" w:rsidP="00F566DD">
            <w:pPr>
              <w:rPr>
                <w:b/>
              </w:rPr>
            </w:pPr>
            <w:r w:rsidRPr="00597C15">
              <w:rPr>
                <w:b/>
              </w:rPr>
              <w:t>Læringsmodul</w:t>
            </w:r>
            <w:r w:rsidR="00562F8B" w:rsidRPr="00597C15">
              <w:rPr>
                <w:b/>
              </w:rPr>
              <w:t>er</w:t>
            </w:r>
          </w:p>
          <w:p w14:paraId="39276818" w14:textId="1C0FC676" w:rsidR="00562F8B" w:rsidRDefault="00597C15" w:rsidP="00F566DD">
            <w:r>
              <w:t xml:space="preserve">Der undervises </w:t>
            </w:r>
            <w:r w:rsidRPr="000A6F2A">
              <w:t xml:space="preserve">på </w:t>
            </w:r>
            <w:r w:rsidR="000A6F2A" w:rsidRPr="000A6F2A">
              <w:t>E-niveau.</w:t>
            </w:r>
          </w:p>
          <w:p w14:paraId="37D1311E" w14:textId="6D098ADC" w:rsidR="00562F8B" w:rsidRDefault="009E24FD" w:rsidP="00F566DD">
            <w:r>
              <w:t xml:space="preserve">På </w:t>
            </w:r>
            <w:r w:rsidR="007B4602">
              <w:t>VVS-</w:t>
            </w:r>
            <w:r w:rsidR="00D53F95">
              <w:t xml:space="preserve">uddannelsen vælges geometri og funktioner </w:t>
            </w:r>
            <w:r>
              <w:t xml:space="preserve">som </w:t>
            </w:r>
            <w:r w:rsidR="00562F8B">
              <w:t>val</w:t>
            </w:r>
            <w:r w:rsidR="000A6F2A">
              <w:t>g</w:t>
            </w:r>
            <w:r w:rsidR="00562F8B">
              <w:t xml:space="preserve">frie </w:t>
            </w:r>
            <w:r w:rsidR="00B50E69">
              <w:t>faglige emne iht. bekendtgørelsen.</w:t>
            </w:r>
          </w:p>
          <w:p w14:paraId="6F562D61" w14:textId="77777777" w:rsidR="009E24FD" w:rsidRDefault="009E24FD" w:rsidP="00F566DD">
            <w:r>
              <w:t xml:space="preserve"> </w:t>
            </w:r>
          </w:p>
          <w:p w14:paraId="5817C824" w14:textId="5176823D" w:rsidR="008D1F51" w:rsidRDefault="008D1F51" w:rsidP="008D1F51">
            <w:r>
              <w:t xml:space="preserve">Undervisningen opdeles i </w:t>
            </w:r>
            <w:r w:rsidR="006B0115">
              <w:t>5</w:t>
            </w:r>
            <w:r w:rsidR="00D53F95">
              <w:t xml:space="preserve"> moduler. Modulerne 1</w:t>
            </w:r>
            <w:r w:rsidR="006B0115">
              <w:t>, 2 og 4</w:t>
            </w:r>
            <w:r w:rsidR="00D53F95">
              <w:t xml:space="preserve"> er </w:t>
            </w:r>
            <w:r w:rsidR="00A13855">
              <w:t>hver opdelt i yderligere 2</w:t>
            </w:r>
            <w:r w:rsidR="00B50E69">
              <w:t>.</w:t>
            </w:r>
            <w:r w:rsidR="00597C15">
              <w:t xml:space="preserve"> </w:t>
            </w:r>
            <w:r w:rsidR="00A13855">
              <w:t>T</w:t>
            </w:r>
            <w:r>
              <w:t xml:space="preserve">ilsammen sikrer </w:t>
            </w:r>
            <w:r w:rsidR="00B50E69">
              <w:t xml:space="preserve">dette, </w:t>
            </w:r>
            <w:r>
              <w:t xml:space="preserve">at </w:t>
            </w:r>
            <w:r w:rsidR="00562F8B">
              <w:t xml:space="preserve">eleven </w:t>
            </w:r>
            <w:r>
              <w:t xml:space="preserve">kommer gennem pensum. </w:t>
            </w:r>
          </w:p>
          <w:p w14:paraId="2365E81E" w14:textId="77777777" w:rsidR="00B50E69" w:rsidRDefault="00B50E69" w:rsidP="008D1F51"/>
          <w:p w14:paraId="0579D98F" w14:textId="77777777" w:rsidR="00597C15" w:rsidRPr="00E82521" w:rsidRDefault="00597C15" w:rsidP="00597C15">
            <w:pPr>
              <w:rPr>
                <w:b/>
              </w:rPr>
            </w:pPr>
            <w:r w:rsidRPr="00F37760">
              <w:rPr>
                <w:b/>
              </w:rPr>
              <w:t>Moduler</w:t>
            </w:r>
            <w:r>
              <w:rPr>
                <w:b/>
              </w:rPr>
              <w:t>ne er følgende</w:t>
            </w:r>
          </w:p>
          <w:p w14:paraId="2E9BEE1C" w14:textId="77777777" w:rsidR="00597C15" w:rsidRPr="00E82521" w:rsidRDefault="00597C15" w:rsidP="00597C15">
            <w:pPr>
              <w:rPr>
                <w:i/>
              </w:rPr>
            </w:pPr>
            <w:r w:rsidRPr="00E82521">
              <w:rPr>
                <w:i/>
              </w:rPr>
              <w:t>Tal- og symbolbehandling (modul 1a og 1b)</w:t>
            </w:r>
          </w:p>
          <w:p w14:paraId="2F0A73A0" w14:textId="77777777" w:rsidR="00597C15" w:rsidRPr="00A13855" w:rsidRDefault="00597C15" w:rsidP="00597C15">
            <w:pPr>
              <w:pStyle w:val="Listeafsnit"/>
              <w:numPr>
                <w:ilvl w:val="0"/>
                <w:numId w:val="6"/>
              </w:numPr>
            </w:pPr>
            <w:r w:rsidRPr="00A13855">
              <w:t>De fire regningsarter</w:t>
            </w:r>
          </w:p>
          <w:p w14:paraId="3F029798" w14:textId="77777777" w:rsidR="00597C15" w:rsidRPr="00A13855" w:rsidRDefault="00597C15" w:rsidP="00597C15">
            <w:pPr>
              <w:pStyle w:val="Listeafsnit"/>
              <w:numPr>
                <w:ilvl w:val="0"/>
                <w:numId w:val="6"/>
              </w:numPr>
            </w:pPr>
            <w:r w:rsidRPr="00A13855">
              <w:t>Brug af lommeregneren</w:t>
            </w:r>
          </w:p>
          <w:p w14:paraId="617E6D38" w14:textId="77777777" w:rsidR="00597C15" w:rsidRPr="00A13855" w:rsidRDefault="00597C15" w:rsidP="00597C15">
            <w:pPr>
              <w:pStyle w:val="Listeafsnit"/>
              <w:numPr>
                <w:ilvl w:val="0"/>
                <w:numId w:val="6"/>
              </w:numPr>
            </w:pPr>
            <w:r w:rsidRPr="00A13855">
              <w:t>Gang og dividere med multiplum af 10</w:t>
            </w:r>
          </w:p>
          <w:p w14:paraId="4A30F6BA" w14:textId="77777777" w:rsidR="00597C15" w:rsidRPr="00A13855" w:rsidRDefault="00597C15" w:rsidP="00597C15">
            <w:pPr>
              <w:pStyle w:val="Listeafsnit"/>
              <w:numPr>
                <w:ilvl w:val="0"/>
                <w:numId w:val="6"/>
              </w:numPr>
            </w:pPr>
            <w:r w:rsidRPr="00A13855">
              <w:t>Metersystemet og omregning af enheder</w:t>
            </w:r>
          </w:p>
          <w:p w14:paraId="5376214D" w14:textId="77777777" w:rsidR="00597C15" w:rsidRDefault="00597C15" w:rsidP="00597C15">
            <w:pPr>
              <w:pStyle w:val="Listeafsnit"/>
              <w:numPr>
                <w:ilvl w:val="0"/>
                <w:numId w:val="6"/>
              </w:numPr>
            </w:pPr>
            <w:r w:rsidRPr="00A13855">
              <w:t>Brøker og decimaltal og afrunding</w:t>
            </w:r>
          </w:p>
          <w:p w14:paraId="75E857BE" w14:textId="77777777" w:rsidR="00597C15" w:rsidRPr="00A13855" w:rsidRDefault="00597C15" w:rsidP="00597C15">
            <w:pPr>
              <w:pStyle w:val="Listeafsnit"/>
              <w:numPr>
                <w:ilvl w:val="0"/>
                <w:numId w:val="6"/>
              </w:numPr>
            </w:pPr>
            <w:r w:rsidRPr="00A13855">
              <w:t>Procent- og forholdsregning</w:t>
            </w:r>
          </w:p>
          <w:p w14:paraId="6D7B0CE1" w14:textId="77777777" w:rsidR="00597C15" w:rsidRPr="00A13855" w:rsidRDefault="00597C15" w:rsidP="00597C15">
            <w:pPr>
              <w:pStyle w:val="Listeafsnit"/>
              <w:numPr>
                <w:ilvl w:val="0"/>
                <w:numId w:val="6"/>
              </w:numPr>
            </w:pPr>
            <w:r>
              <w:t>Regning med formler</w:t>
            </w:r>
          </w:p>
          <w:p w14:paraId="24AA137E" w14:textId="77777777" w:rsidR="00597C15" w:rsidRDefault="00597C15" w:rsidP="00597C15">
            <w:pPr>
              <w:pStyle w:val="Listeafsnit"/>
              <w:numPr>
                <w:ilvl w:val="0"/>
                <w:numId w:val="6"/>
              </w:numPr>
            </w:pPr>
            <w:r>
              <w:t xml:space="preserve">Målestoksforhold </w:t>
            </w:r>
          </w:p>
          <w:p w14:paraId="2BBA9713" w14:textId="77777777" w:rsidR="00597C15" w:rsidRPr="00A13855" w:rsidRDefault="00597C15" w:rsidP="00597C15"/>
          <w:p w14:paraId="304286A0" w14:textId="77777777" w:rsidR="00597C15" w:rsidRPr="00E82521" w:rsidRDefault="00597C15" w:rsidP="00597C15">
            <w:pPr>
              <w:rPr>
                <w:i/>
              </w:rPr>
            </w:pPr>
            <w:r w:rsidRPr="00E82521">
              <w:rPr>
                <w:i/>
              </w:rPr>
              <w:t>Geometri (modul 2a og 2b)</w:t>
            </w:r>
          </w:p>
          <w:p w14:paraId="03336FFC" w14:textId="77777777" w:rsidR="00597C15" w:rsidRPr="00F37760" w:rsidRDefault="00597C15" w:rsidP="00597C15">
            <w:pPr>
              <w:pStyle w:val="Listeafsnit"/>
              <w:numPr>
                <w:ilvl w:val="0"/>
                <w:numId w:val="6"/>
              </w:numPr>
            </w:pPr>
            <w:r>
              <w:t>A</w:t>
            </w:r>
            <w:r w:rsidRPr="00F37760">
              <w:t xml:space="preserve">real </w:t>
            </w:r>
          </w:p>
          <w:p w14:paraId="675BD170" w14:textId="77777777" w:rsidR="00597C15" w:rsidRPr="00F37760" w:rsidRDefault="00597C15" w:rsidP="00597C15">
            <w:pPr>
              <w:pStyle w:val="Listeafsnit"/>
              <w:numPr>
                <w:ilvl w:val="0"/>
                <w:numId w:val="6"/>
              </w:numPr>
            </w:pPr>
            <w:r w:rsidRPr="00F37760">
              <w:t xml:space="preserve">Rumfang </w:t>
            </w:r>
          </w:p>
          <w:p w14:paraId="487EAD0D" w14:textId="77777777" w:rsidR="00597C15" w:rsidRPr="00F37760" w:rsidRDefault="00597C15" w:rsidP="00597C15">
            <w:pPr>
              <w:pStyle w:val="Listeafsnit"/>
              <w:numPr>
                <w:ilvl w:val="0"/>
                <w:numId w:val="6"/>
              </w:numPr>
            </w:pPr>
            <w:r w:rsidRPr="00F37760">
              <w:t>Massefylde</w:t>
            </w:r>
          </w:p>
          <w:p w14:paraId="3EC1A3C4" w14:textId="77777777" w:rsidR="00597C15" w:rsidRPr="00F37760" w:rsidRDefault="00597C15" w:rsidP="00597C15">
            <w:pPr>
              <w:pStyle w:val="Listeafsnit"/>
              <w:numPr>
                <w:ilvl w:val="0"/>
                <w:numId w:val="6"/>
              </w:numPr>
            </w:pPr>
            <w:r>
              <w:t>Pythagoras</w:t>
            </w:r>
          </w:p>
          <w:p w14:paraId="25B45A17" w14:textId="77777777" w:rsidR="00597C15" w:rsidRDefault="00597C15" w:rsidP="00597C15">
            <w:pPr>
              <w:pStyle w:val="Listeafsnit"/>
              <w:numPr>
                <w:ilvl w:val="0"/>
                <w:numId w:val="6"/>
              </w:numPr>
            </w:pPr>
            <w:r w:rsidRPr="00F37760">
              <w:t>Trigonometri i retvinklede trekanter</w:t>
            </w:r>
          </w:p>
          <w:p w14:paraId="12F0ED90" w14:textId="77777777" w:rsidR="00597C15" w:rsidRDefault="00597C15" w:rsidP="00597C15"/>
          <w:p w14:paraId="3FD6728C" w14:textId="77777777" w:rsidR="00597C15" w:rsidRPr="00E82521" w:rsidRDefault="00597C15" w:rsidP="00597C15">
            <w:pPr>
              <w:rPr>
                <w:i/>
              </w:rPr>
            </w:pPr>
            <w:r w:rsidRPr="00E82521">
              <w:rPr>
                <w:i/>
              </w:rPr>
              <w:t>Simpel ligningsløsning (modul 3)</w:t>
            </w:r>
          </w:p>
          <w:p w14:paraId="20F53868" w14:textId="77777777" w:rsidR="00597C15" w:rsidRDefault="00597C15" w:rsidP="00597C15">
            <w:pPr>
              <w:pStyle w:val="Listeafsnit"/>
              <w:ind w:left="360"/>
              <w:rPr>
                <w:b/>
              </w:rPr>
            </w:pPr>
          </w:p>
          <w:p w14:paraId="7A81B58F" w14:textId="77777777" w:rsidR="00597C15" w:rsidRPr="00E82521" w:rsidRDefault="00597C15" w:rsidP="00597C15">
            <w:pPr>
              <w:rPr>
                <w:i/>
              </w:rPr>
            </w:pPr>
            <w:r w:rsidRPr="00E82521">
              <w:rPr>
                <w:i/>
              </w:rPr>
              <w:t>Funktioner (modul 4a og 4b)</w:t>
            </w:r>
          </w:p>
          <w:p w14:paraId="5D1F2F9A" w14:textId="77777777" w:rsidR="00597C15" w:rsidRDefault="00597C15" w:rsidP="00597C15">
            <w:pPr>
              <w:pStyle w:val="Listeafsnit"/>
              <w:numPr>
                <w:ilvl w:val="0"/>
                <w:numId w:val="6"/>
              </w:numPr>
            </w:pPr>
            <w:r w:rsidRPr="00D53F95">
              <w:t>Det retvinklede koordinatsystem</w:t>
            </w:r>
          </w:p>
          <w:p w14:paraId="1071FC24" w14:textId="77777777" w:rsidR="00597C15" w:rsidRDefault="00597C15" w:rsidP="00597C15">
            <w:pPr>
              <w:pStyle w:val="Listeafsnit"/>
              <w:numPr>
                <w:ilvl w:val="0"/>
                <w:numId w:val="6"/>
              </w:numPr>
            </w:pPr>
            <w:r>
              <w:t>Funktionen for den rette linje</w:t>
            </w:r>
          </w:p>
          <w:p w14:paraId="7FE2B8B5" w14:textId="77777777" w:rsidR="00597C15" w:rsidRDefault="00597C15" w:rsidP="00597C15">
            <w:pPr>
              <w:pStyle w:val="Listeafsnit"/>
              <w:numPr>
                <w:ilvl w:val="0"/>
                <w:numId w:val="6"/>
              </w:numPr>
            </w:pPr>
            <w:r>
              <w:t xml:space="preserve">Løsning af to ligninger med to ubekendte, ved aflæsning og ved algebraisk løsning </w:t>
            </w:r>
          </w:p>
          <w:p w14:paraId="37D4EA78" w14:textId="77777777" w:rsidR="00597C15" w:rsidRDefault="00597C15" w:rsidP="00597C15">
            <w:pPr>
              <w:pStyle w:val="Listeafsnit"/>
              <w:numPr>
                <w:ilvl w:val="0"/>
                <w:numId w:val="6"/>
              </w:numPr>
            </w:pPr>
            <w:r w:rsidRPr="00CC7BB9">
              <w:t>Om</w:t>
            </w:r>
            <w:r>
              <w:t>vendt proportionalitet</w:t>
            </w:r>
          </w:p>
          <w:p w14:paraId="7E33DB07" w14:textId="77777777" w:rsidR="00597C15" w:rsidRDefault="00597C15" w:rsidP="00597C15">
            <w:pPr>
              <w:pStyle w:val="Listeafsnit"/>
              <w:ind w:left="1080"/>
            </w:pPr>
          </w:p>
          <w:p w14:paraId="266688CA" w14:textId="77777777" w:rsidR="00597C15" w:rsidRPr="00E82521" w:rsidRDefault="00597C15" w:rsidP="00597C15">
            <w:pPr>
              <w:rPr>
                <w:i/>
              </w:rPr>
            </w:pPr>
            <w:proofErr w:type="gramStart"/>
            <w:r w:rsidRPr="00E82521">
              <w:rPr>
                <w:i/>
              </w:rPr>
              <w:t>Rentes regning</w:t>
            </w:r>
            <w:proofErr w:type="gramEnd"/>
            <w:r w:rsidRPr="00E82521">
              <w:rPr>
                <w:i/>
              </w:rPr>
              <w:t xml:space="preserve"> (modul 5)</w:t>
            </w:r>
          </w:p>
          <w:p w14:paraId="469A80EE" w14:textId="77777777" w:rsidR="00597C15" w:rsidRPr="00CC7BB9" w:rsidRDefault="00597C15" w:rsidP="00597C15">
            <w:pPr>
              <w:pStyle w:val="Listeafsnit"/>
              <w:numPr>
                <w:ilvl w:val="0"/>
                <w:numId w:val="6"/>
              </w:numPr>
            </w:pPr>
            <w:r>
              <w:t>Rentesregning i forbindelse med opsparing og låntagning</w:t>
            </w:r>
          </w:p>
          <w:p w14:paraId="764BC004" w14:textId="77777777" w:rsidR="00F37760" w:rsidRDefault="00F37760" w:rsidP="00432DA7">
            <w:pPr>
              <w:rPr>
                <w:color w:val="FF0000"/>
              </w:rPr>
            </w:pPr>
          </w:p>
          <w:p w14:paraId="005A0720" w14:textId="7A58A0E5" w:rsidR="00F37760" w:rsidRPr="00597C15" w:rsidRDefault="00F37760" w:rsidP="00432DA7">
            <w:pPr>
              <w:rPr>
                <w:b/>
              </w:rPr>
            </w:pPr>
            <w:r w:rsidRPr="00F37760">
              <w:rPr>
                <w:b/>
              </w:rPr>
              <w:t>Erhvervsfagligt emne</w:t>
            </w:r>
          </w:p>
          <w:p w14:paraId="18D017D1" w14:textId="77777777" w:rsidR="002653FA" w:rsidRDefault="002653FA" w:rsidP="002653FA">
            <w:r w:rsidRPr="00F37760">
              <w:t>Som</w:t>
            </w:r>
            <w:r>
              <w:t xml:space="preserve"> erhvervsfagligt emne arbejder eleverne med et tematiseret opgavesæt, hvor der foretages følgende beregninger: </w:t>
            </w:r>
          </w:p>
          <w:p w14:paraId="022E6175" w14:textId="0660990B" w:rsidR="002653FA" w:rsidRDefault="002653FA" w:rsidP="00597C15">
            <w:pPr>
              <w:pStyle w:val="Listeafsnit"/>
              <w:numPr>
                <w:ilvl w:val="0"/>
                <w:numId w:val="6"/>
              </w:numPr>
            </w:pPr>
            <w:r>
              <w:t>Beregninger af materialeforbrug og mål af zinkkonstruktion</w:t>
            </w:r>
          </w:p>
          <w:p w14:paraId="485D6DA6" w14:textId="691E08A6" w:rsidR="002653FA" w:rsidRDefault="002653FA" w:rsidP="00597C15">
            <w:pPr>
              <w:pStyle w:val="Listeafsnit"/>
              <w:numPr>
                <w:ilvl w:val="0"/>
                <w:numId w:val="6"/>
              </w:numPr>
            </w:pPr>
            <w:r>
              <w:t>Konstruktionstegning i målestoksforhold</w:t>
            </w:r>
          </w:p>
          <w:p w14:paraId="4344426B" w14:textId="449EAE90" w:rsidR="002653FA" w:rsidRDefault="002653FA" w:rsidP="00597C15">
            <w:pPr>
              <w:pStyle w:val="Listeafsnit"/>
              <w:numPr>
                <w:ilvl w:val="0"/>
                <w:numId w:val="6"/>
              </w:numPr>
            </w:pPr>
            <w:r>
              <w:t xml:space="preserve">Grafisk afbillede af materialeforbruget </w:t>
            </w:r>
          </w:p>
          <w:p w14:paraId="2CB4E002" w14:textId="77777777" w:rsidR="00F566DD" w:rsidRDefault="00F566DD" w:rsidP="00F566DD"/>
        </w:tc>
      </w:tr>
      <w:tr w:rsidR="00597C15" w14:paraId="190CA8FE" w14:textId="77777777" w:rsidTr="00F566DD">
        <w:tc>
          <w:tcPr>
            <w:tcW w:w="9778" w:type="dxa"/>
          </w:tcPr>
          <w:p w14:paraId="0D5B8933" w14:textId="77777777" w:rsidR="00597C15" w:rsidRPr="007A3FA0" w:rsidRDefault="00597C15" w:rsidP="00597C15">
            <w:pPr>
              <w:rPr>
                <w:b/>
              </w:rPr>
            </w:pPr>
            <w:r w:rsidRPr="007A3FA0">
              <w:rPr>
                <w:b/>
              </w:rPr>
              <w:lastRenderedPageBreak/>
              <w:t>It i undervisningen</w:t>
            </w:r>
          </w:p>
          <w:p w14:paraId="10C5A364" w14:textId="77777777" w:rsidR="00597C15" w:rsidRDefault="000A6F2A" w:rsidP="000A6F2A">
            <w:r>
              <w:t xml:space="preserve">Der udarbejdes undervisningsmateriale i den digitale læringsplatform </w:t>
            </w:r>
            <w:r w:rsidRPr="00F6786C">
              <w:rPr>
                <w:i/>
              </w:rPr>
              <w:t>Moodle</w:t>
            </w:r>
            <w:r>
              <w:t>.</w:t>
            </w:r>
          </w:p>
          <w:p w14:paraId="13EA27FC" w14:textId="6D091709" w:rsidR="000A6F2A" w:rsidRPr="00597C15" w:rsidRDefault="000A6F2A" w:rsidP="000A6F2A">
            <w:pPr>
              <w:rPr>
                <w:b/>
              </w:rPr>
            </w:pPr>
            <w:bookmarkStart w:id="0" w:name="_GoBack"/>
            <w:bookmarkEnd w:id="0"/>
          </w:p>
        </w:tc>
      </w:tr>
      <w:tr w:rsidR="00F566DD" w14:paraId="19934E77" w14:textId="77777777" w:rsidTr="00F566DD">
        <w:tc>
          <w:tcPr>
            <w:tcW w:w="9778" w:type="dxa"/>
          </w:tcPr>
          <w:p w14:paraId="7FD66354" w14:textId="77777777" w:rsidR="00597C15" w:rsidRPr="00E82521" w:rsidRDefault="00597C15" w:rsidP="00597C15">
            <w:pPr>
              <w:rPr>
                <w:b/>
              </w:rPr>
            </w:pPr>
            <w:r w:rsidRPr="00E82521">
              <w:rPr>
                <w:b/>
              </w:rPr>
              <w:t>Løbende evaluering</w:t>
            </w:r>
          </w:p>
          <w:p w14:paraId="5EAD83E7" w14:textId="77777777" w:rsidR="00597C15" w:rsidRDefault="00597C15" w:rsidP="00597C15">
            <w:r>
              <w:t xml:space="preserve">Grundlaget for den løbende evaluering, er elevernes arbejde med modulerne, der </w:t>
            </w:r>
            <w:r w:rsidRPr="00F62A84">
              <w:rPr>
                <w:b/>
                <w:u w:val="single"/>
              </w:rPr>
              <w:t>alle</w:t>
            </w:r>
            <w:r>
              <w:t xml:space="preserve"> anvendes som dokumentation. </w:t>
            </w:r>
          </w:p>
          <w:p w14:paraId="41AA0E75" w14:textId="77777777" w:rsidR="00597C15" w:rsidRDefault="00597C15" w:rsidP="00597C15">
            <w:r>
              <w:t xml:space="preserve">Alle elever modtager individuel evaluering. Dels i forhold til det faglige udbytte (summativ evaluering) og dels den enkelte elevs tilgang til - og arbejde med det faglige stof (formativ evaluering). </w:t>
            </w:r>
          </w:p>
          <w:p w14:paraId="33F97AAB" w14:textId="77777777" w:rsidR="00597C15" w:rsidRPr="002E3A34" w:rsidRDefault="00597C15" w:rsidP="00597C15">
            <w:r>
              <w:t>Midtvejs i forløbet afholdes, der en midtvejsprøve, med det formål at kortlægge elevernes faglige standpunkt og ikke mindst, hvad den enkelte elev er i stand til selvstændigt at præstere.</w:t>
            </w:r>
            <w:r w:rsidRPr="002E3A34">
              <w:t xml:space="preserve"> </w:t>
            </w:r>
          </w:p>
          <w:p w14:paraId="04E3B5A3" w14:textId="77777777" w:rsidR="00597C15" w:rsidRDefault="00597C15" w:rsidP="00597C15"/>
          <w:p w14:paraId="2EBBD494" w14:textId="77777777" w:rsidR="00597C15" w:rsidRDefault="00597C15" w:rsidP="00597C15">
            <w:r w:rsidRPr="007A3FA0">
              <w:rPr>
                <w:b/>
              </w:rPr>
              <w:t>Slutevaluering</w:t>
            </w:r>
            <w:r w:rsidRPr="002E3A34">
              <w:t>: Der gives en standpunktskarakte</w:t>
            </w:r>
            <w:r>
              <w:t>r.</w:t>
            </w:r>
          </w:p>
          <w:p w14:paraId="76D70B9A" w14:textId="77777777" w:rsidR="00597C15" w:rsidRDefault="00597C15" w:rsidP="00597C15"/>
          <w:p w14:paraId="1B40A1FE" w14:textId="32E50AFB" w:rsidR="00F566DD" w:rsidRDefault="00597C15" w:rsidP="00597C15">
            <w:r w:rsidRPr="00723D3C">
              <w:rPr>
                <w:rFonts w:cstheme="minorHAnsi"/>
                <w:i/>
              </w:rPr>
              <w:t>Faget er udtræksfag til eksamen.</w:t>
            </w:r>
          </w:p>
        </w:tc>
      </w:tr>
    </w:tbl>
    <w:p w14:paraId="4335DFC1" w14:textId="77777777" w:rsidR="004E4EC7" w:rsidRDefault="004E4EC7"/>
    <w:sectPr w:rsidR="004E4EC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7793E7D"/>
    <w:multiLevelType w:val="hybridMultilevel"/>
    <w:tmpl w:val="EAEAD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92317C1"/>
    <w:multiLevelType w:val="hybridMultilevel"/>
    <w:tmpl w:val="EF98582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679A48AC"/>
    <w:multiLevelType w:val="hybridMultilevel"/>
    <w:tmpl w:val="805A780E"/>
    <w:lvl w:ilvl="0" w:tplc="99C2280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F97FD6"/>
    <w:multiLevelType w:val="hybridMultilevel"/>
    <w:tmpl w:val="5B90088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45B58"/>
    <w:rsid w:val="0005246E"/>
    <w:rsid w:val="000A6F2A"/>
    <w:rsid w:val="002653FA"/>
    <w:rsid w:val="002E3A34"/>
    <w:rsid w:val="00432DA7"/>
    <w:rsid w:val="004E4EC7"/>
    <w:rsid w:val="00537B3E"/>
    <w:rsid w:val="00562F8B"/>
    <w:rsid w:val="00597C15"/>
    <w:rsid w:val="006275E8"/>
    <w:rsid w:val="00634E84"/>
    <w:rsid w:val="006364CA"/>
    <w:rsid w:val="0064371B"/>
    <w:rsid w:val="006B0115"/>
    <w:rsid w:val="00703CBF"/>
    <w:rsid w:val="00772D09"/>
    <w:rsid w:val="007B4602"/>
    <w:rsid w:val="00841344"/>
    <w:rsid w:val="00876ECA"/>
    <w:rsid w:val="0089352D"/>
    <w:rsid w:val="008D1F51"/>
    <w:rsid w:val="00963A7A"/>
    <w:rsid w:val="009E24FD"/>
    <w:rsid w:val="009F5F3B"/>
    <w:rsid w:val="00A13855"/>
    <w:rsid w:val="00B4723A"/>
    <w:rsid w:val="00B50E69"/>
    <w:rsid w:val="00B56B98"/>
    <w:rsid w:val="00BF1F66"/>
    <w:rsid w:val="00C15F85"/>
    <w:rsid w:val="00C340F5"/>
    <w:rsid w:val="00CC7BB9"/>
    <w:rsid w:val="00CD5B63"/>
    <w:rsid w:val="00D51A70"/>
    <w:rsid w:val="00D53F95"/>
    <w:rsid w:val="00D97631"/>
    <w:rsid w:val="00E22C47"/>
    <w:rsid w:val="00E61E1D"/>
    <w:rsid w:val="00EB5A4B"/>
    <w:rsid w:val="00F37760"/>
    <w:rsid w:val="00F566DD"/>
    <w:rsid w:val="00F62A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618C"/>
  <w15:docId w15:val="{D0F8BD57-4A31-4C78-860B-82BDDBED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9234-4302-433B-8505-4737E754F79F}">
  <ds:schemaRef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schemas.microsoft.com/office/2006/documentManagement/types"/>
    <ds:schemaRef ds:uri="ae33b115-c932-40d8-9cef-ea9d2af2dbbc"/>
    <ds:schemaRef ds:uri="6ec6701d-209b-4e06-9e46-9bcc0bbca3b7"/>
    <ds:schemaRef ds:uri="http://www.w3.org/XML/1998/namespace"/>
  </ds:schemaRefs>
</ds:datastoreItem>
</file>

<file path=customXml/itemProps2.xml><?xml version="1.0" encoding="utf-8"?>
<ds:datastoreItem xmlns:ds="http://schemas.openxmlformats.org/officeDocument/2006/customXml" ds:itemID="{CDE10F8F-6377-41D3-8211-0A4826FF6185}">
  <ds:schemaRefs>
    <ds:schemaRef ds:uri="http://schemas.microsoft.com/sharepoint/v3/contenttype/forms"/>
  </ds:schemaRefs>
</ds:datastoreItem>
</file>

<file path=customXml/itemProps3.xml><?xml version="1.0" encoding="utf-8"?>
<ds:datastoreItem xmlns:ds="http://schemas.openxmlformats.org/officeDocument/2006/customXml" ds:itemID="{1463C967-2FF1-4DD8-98B4-52734AA90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3165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4</cp:revision>
  <dcterms:created xsi:type="dcterms:W3CDTF">2019-10-09T07:50:00Z</dcterms:created>
  <dcterms:modified xsi:type="dcterms:W3CDTF">2019-10-09T12:24:00Z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