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63303" w:rsidRPr="00F63303" w14:paraId="4BE766F5" w14:textId="77777777" w:rsidTr="00F566DD">
        <w:tc>
          <w:tcPr>
            <w:tcW w:w="9778" w:type="dxa"/>
          </w:tcPr>
          <w:p w14:paraId="561B5229" w14:textId="77777777" w:rsidR="00F566DD" w:rsidRDefault="00F566DD" w:rsidP="00F566DD">
            <w:r w:rsidRPr="001F35C8">
              <w:rPr>
                <w:b/>
                <w:u w:val="single"/>
              </w:rPr>
              <w:t>Uddannelse</w:t>
            </w:r>
            <w:r w:rsidR="00841344" w:rsidRPr="001F35C8">
              <w:rPr>
                <w:b/>
                <w:u w:val="single"/>
              </w:rPr>
              <w:t>:</w:t>
            </w:r>
            <w:r w:rsidRPr="001F35C8">
              <w:rPr>
                <w:b/>
                <w:u w:val="single"/>
              </w:rPr>
              <w:t xml:space="preserve"> </w:t>
            </w:r>
            <w:r w:rsidR="00CE5CF7">
              <w:rPr>
                <w:b/>
                <w:u w:val="single"/>
              </w:rPr>
              <w:t xml:space="preserve"> </w:t>
            </w:r>
            <w:r w:rsidR="00492597">
              <w:t>Tagdækker</w:t>
            </w:r>
            <w:r w:rsidR="00841344" w:rsidRPr="00F63303">
              <w:t xml:space="preserve"> GF2</w:t>
            </w:r>
          </w:p>
          <w:p w14:paraId="4BE766F4" w14:textId="21A51B76" w:rsidR="00CE5CF7" w:rsidRPr="00CE5CF7" w:rsidRDefault="00CE5CF7" w:rsidP="00F566DD">
            <w:pPr>
              <w:rPr>
                <w:b/>
                <w:u w:val="single"/>
              </w:rPr>
            </w:pPr>
          </w:p>
        </w:tc>
      </w:tr>
      <w:tr w:rsidR="00F63303" w:rsidRPr="00F63303" w14:paraId="4BE766FA" w14:textId="77777777" w:rsidTr="00F566DD">
        <w:tc>
          <w:tcPr>
            <w:tcW w:w="9778" w:type="dxa"/>
          </w:tcPr>
          <w:p w14:paraId="4BE766F7" w14:textId="4B955B08" w:rsidR="00F566DD" w:rsidRDefault="00F566DD" w:rsidP="00F566DD">
            <w:pPr>
              <w:rPr>
                <w:b/>
              </w:rPr>
            </w:pPr>
            <w:r w:rsidRPr="001F35C8">
              <w:rPr>
                <w:b/>
                <w:u w:val="single"/>
              </w:rPr>
              <w:t>Faget formål</w:t>
            </w:r>
            <w:r w:rsidR="001F35C8" w:rsidRPr="001F35C8">
              <w:rPr>
                <w:b/>
                <w:u w:val="single"/>
              </w:rPr>
              <w:t>:</w:t>
            </w:r>
            <w:r w:rsidR="001F35C8">
              <w:rPr>
                <w:b/>
              </w:rPr>
              <w:t xml:space="preserve"> </w:t>
            </w:r>
          </w:p>
          <w:p w14:paraId="0F8FB473" w14:textId="77777777" w:rsidR="00CE5CF7" w:rsidRDefault="00CE5CF7" w:rsidP="00CE5CF7">
            <w:pPr>
              <w:rPr>
                <w:b/>
              </w:rPr>
            </w:pPr>
            <w:r>
              <w:rPr>
                <w:b/>
              </w:rPr>
              <w:t>Fagets formål</w:t>
            </w:r>
          </w:p>
          <w:p w14:paraId="4BE766F9" w14:textId="4A723800" w:rsidR="00F566DD" w:rsidRPr="00F63303" w:rsidRDefault="00CE5CF7" w:rsidP="00F566DD">
            <w:r>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 grundlag for videre uddannelse</w:t>
            </w:r>
          </w:p>
        </w:tc>
      </w:tr>
      <w:tr w:rsidR="00F63303" w:rsidRPr="00F63303" w14:paraId="4BE76703" w14:textId="77777777" w:rsidTr="00F566DD">
        <w:tc>
          <w:tcPr>
            <w:tcW w:w="9778" w:type="dxa"/>
          </w:tcPr>
          <w:p w14:paraId="4BE766FB" w14:textId="77777777" w:rsidR="00B4723A" w:rsidRPr="001F35C8" w:rsidRDefault="00F566DD" w:rsidP="00B4723A">
            <w:pPr>
              <w:rPr>
                <w:b/>
                <w:u w:val="single"/>
              </w:rPr>
            </w:pPr>
            <w:r w:rsidRPr="001F35C8">
              <w:rPr>
                <w:b/>
                <w:u w:val="single"/>
              </w:rPr>
              <w:t>Fagintegration</w:t>
            </w:r>
            <w:r w:rsidR="00841344" w:rsidRPr="001F35C8">
              <w:rPr>
                <w:b/>
                <w:u w:val="single"/>
              </w:rPr>
              <w:t>:</w:t>
            </w:r>
          </w:p>
          <w:p w14:paraId="4BE766FC" w14:textId="77777777" w:rsidR="00B4723A" w:rsidRPr="006A5CBB" w:rsidRDefault="00B4723A" w:rsidP="00B4723A">
            <w:r w:rsidRPr="006A5CBB">
              <w:t xml:space="preserve">Eleverne vil opleve, at arbejdet med de matematikfaglige emner og moduler tager afsæt i </w:t>
            </w:r>
            <w:r w:rsidR="00F63303" w:rsidRPr="006A5CBB">
              <w:t>erhvervsfaglige tematikker, fx:</w:t>
            </w:r>
          </w:p>
          <w:p w14:paraId="4BE766FD" w14:textId="77777777" w:rsidR="00B4723A" w:rsidRPr="006A5CBB" w:rsidRDefault="00F63303" w:rsidP="00B4723A">
            <w:pPr>
              <w:pStyle w:val="Listeafsnit"/>
              <w:numPr>
                <w:ilvl w:val="0"/>
                <w:numId w:val="1"/>
              </w:numPr>
            </w:pPr>
            <w:r w:rsidRPr="006A5CBB">
              <w:t xml:space="preserve">Mål, </w:t>
            </w:r>
            <w:r w:rsidR="00B4723A" w:rsidRPr="006A5CBB">
              <w:t>vægt</w:t>
            </w:r>
            <w:r w:rsidRPr="006A5CBB">
              <w:t xml:space="preserve">, massefylde med </w:t>
            </w:r>
            <w:r w:rsidR="00461784">
              <w:t xml:space="preserve">afsæt i </w:t>
            </w:r>
            <w:r w:rsidRPr="006A5CBB">
              <w:t xml:space="preserve">fagets emner og </w:t>
            </w:r>
            <w:r w:rsidR="00B4723A" w:rsidRPr="006A5CBB">
              <w:t>materialer</w:t>
            </w:r>
            <w:r w:rsidRPr="006A5CBB">
              <w:t>.</w:t>
            </w:r>
          </w:p>
          <w:p w14:paraId="4BE766FF" w14:textId="084B6B03" w:rsidR="0027152E" w:rsidRPr="006A5CBB" w:rsidRDefault="00492597" w:rsidP="00817959">
            <w:pPr>
              <w:pStyle w:val="Listeafsnit"/>
              <w:numPr>
                <w:ilvl w:val="0"/>
                <w:numId w:val="1"/>
              </w:numPr>
            </w:pPr>
            <w:r>
              <w:t>Brøk</w:t>
            </w:r>
            <w:r w:rsidR="00203AC9">
              <w:t xml:space="preserve">- og procent i </w:t>
            </w:r>
            <w:r>
              <w:t xml:space="preserve">forhold til </w:t>
            </w:r>
            <w:r w:rsidR="00203AC9">
              <w:t xml:space="preserve">bl.a. rabatter, lønfordeling etc. </w:t>
            </w:r>
          </w:p>
          <w:p w14:paraId="4BE76700" w14:textId="77777777" w:rsidR="00B4723A" w:rsidRPr="006A5CBB" w:rsidRDefault="00B4723A" w:rsidP="00B4723A">
            <w:pPr>
              <w:pStyle w:val="Listeafsnit"/>
              <w:numPr>
                <w:ilvl w:val="0"/>
                <w:numId w:val="1"/>
              </w:numPr>
            </w:pPr>
            <w:r w:rsidRPr="006A5CBB">
              <w:t>Arealer, rumfang og vægt integreres i elementære materialeberegninger inden for faget</w:t>
            </w:r>
            <w:r w:rsidR="0027152E" w:rsidRPr="006A5CBB">
              <w:t>.</w:t>
            </w:r>
          </w:p>
          <w:p w14:paraId="4BE76701" w14:textId="7871A853" w:rsidR="00F566DD" w:rsidRPr="006A5CBB" w:rsidRDefault="00B4723A" w:rsidP="00F63303">
            <w:pPr>
              <w:pStyle w:val="Listeafsnit"/>
              <w:numPr>
                <w:ilvl w:val="0"/>
                <w:numId w:val="1"/>
              </w:numPr>
            </w:pPr>
            <w:r w:rsidRPr="006A5CBB">
              <w:t xml:space="preserve">Geometri- og trekantberegninger integreres eksempelvis i </w:t>
            </w:r>
            <w:r w:rsidR="00492597">
              <w:t xml:space="preserve">sammenhæng med </w:t>
            </w:r>
            <w:r w:rsidR="00203AC9">
              <w:t xml:space="preserve">beregninger på </w:t>
            </w:r>
            <w:r w:rsidR="00492597">
              <w:t>tag</w:t>
            </w:r>
            <w:r w:rsidR="00203AC9">
              <w:t>konstruktioner og fald på tage.</w:t>
            </w:r>
          </w:p>
          <w:p w14:paraId="4BE76702" w14:textId="3DB43066" w:rsidR="00F63303" w:rsidRPr="00203AC9" w:rsidRDefault="00203AC9" w:rsidP="00203AC9">
            <w:pPr>
              <w:rPr>
                <w:color w:val="00B050"/>
              </w:rPr>
            </w:pPr>
            <w:r>
              <w:t xml:space="preserve"> </w:t>
            </w:r>
          </w:p>
        </w:tc>
      </w:tr>
      <w:tr w:rsidR="00F63303" w:rsidRPr="00F63303" w14:paraId="4BE7671B" w14:textId="77777777" w:rsidTr="00F566DD">
        <w:tc>
          <w:tcPr>
            <w:tcW w:w="9778" w:type="dxa"/>
          </w:tcPr>
          <w:p w14:paraId="4BE76704" w14:textId="77777777" w:rsidR="00F566DD" w:rsidRPr="001F35C8" w:rsidRDefault="00F566DD" w:rsidP="00176C74">
            <w:pPr>
              <w:rPr>
                <w:b/>
                <w:u w:val="single"/>
              </w:rPr>
            </w:pPr>
            <w:r w:rsidRPr="001F35C8">
              <w:rPr>
                <w:b/>
                <w:u w:val="single"/>
              </w:rPr>
              <w:t>Læringsmodul</w:t>
            </w:r>
            <w:r w:rsidR="00562F8B" w:rsidRPr="001F35C8">
              <w:rPr>
                <w:b/>
                <w:u w:val="single"/>
              </w:rPr>
              <w:t>er</w:t>
            </w:r>
            <w:r w:rsidR="008D1F51" w:rsidRPr="001F35C8">
              <w:rPr>
                <w:b/>
                <w:u w:val="single"/>
              </w:rPr>
              <w:t xml:space="preserve">: </w:t>
            </w:r>
          </w:p>
          <w:p w14:paraId="4BE76705" w14:textId="77777777" w:rsidR="00562F8B" w:rsidRPr="00461784" w:rsidRDefault="00562F8B" w:rsidP="001F35C8">
            <w:pPr>
              <w:pStyle w:val="Listeafsnit"/>
              <w:ind w:left="0"/>
            </w:pPr>
          </w:p>
          <w:p w14:paraId="4BE76706" w14:textId="77777777" w:rsidR="00562F8B" w:rsidRPr="00461784" w:rsidRDefault="000733F6" w:rsidP="001F35C8">
            <w:pPr>
              <w:pStyle w:val="Listeafsnit"/>
              <w:ind w:left="0"/>
            </w:pPr>
            <w:r w:rsidRPr="00461784">
              <w:t xml:space="preserve">På </w:t>
            </w:r>
            <w:r w:rsidR="009E24FD" w:rsidRPr="00461784">
              <w:t xml:space="preserve">uddannelsen vælges geometri som det </w:t>
            </w:r>
            <w:r w:rsidR="00562F8B" w:rsidRPr="00461784">
              <w:t>val</w:t>
            </w:r>
            <w:r w:rsidRPr="00461784">
              <w:t>g</w:t>
            </w:r>
            <w:r w:rsidR="00562F8B" w:rsidRPr="00461784">
              <w:t xml:space="preserve">frie </w:t>
            </w:r>
            <w:r w:rsidR="00B50E69" w:rsidRPr="00461784">
              <w:t>faglige emne iht. bekendtgørelsen.</w:t>
            </w:r>
          </w:p>
          <w:p w14:paraId="4BE76707" w14:textId="77777777" w:rsidR="009E24FD" w:rsidRPr="00461784" w:rsidRDefault="009E24FD" w:rsidP="001F35C8">
            <w:pPr>
              <w:pStyle w:val="Listeafsnit"/>
              <w:ind w:left="0"/>
            </w:pPr>
          </w:p>
          <w:p w14:paraId="4BE76708" w14:textId="77777777" w:rsidR="008D1F51" w:rsidRPr="00461784" w:rsidRDefault="000733F6" w:rsidP="001F35C8">
            <w:pPr>
              <w:pStyle w:val="Listeafsnit"/>
              <w:ind w:left="0"/>
            </w:pPr>
            <w:r w:rsidRPr="00461784">
              <w:t>Indholdet i undervisningen er følgende</w:t>
            </w:r>
          </w:p>
          <w:p w14:paraId="4BE76709" w14:textId="77777777" w:rsidR="00562F8B" w:rsidRPr="00461784" w:rsidRDefault="00562F8B" w:rsidP="000733F6">
            <w:pPr>
              <w:pStyle w:val="Listeafsnit"/>
              <w:ind w:left="1080"/>
            </w:pPr>
          </w:p>
          <w:p w14:paraId="4BE7670A" w14:textId="77777777" w:rsidR="000733F6" w:rsidRPr="00176C74" w:rsidRDefault="000733F6" w:rsidP="001F35C8">
            <w:pPr>
              <w:ind w:left="284"/>
              <w:rPr>
                <w:b/>
              </w:rPr>
            </w:pPr>
            <w:r w:rsidRPr="00176C74">
              <w:rPr>
                <w:b/>
              </w:rPr>
              <w:t>Tal- og symbolbehandling</w:t>
            </w:r>
          </w:p>
          <w:p w14:paraId="4BE7670B" w14:textId="77777777" w:rsidR="00461784" w:rsidRDefault="00C57C57" w:rsidP="000733F6">
            <w:pPr>
              <w:pStyle w:val="Listeafsnit"/>
              <w:numPr>
                <w:ilvl w:val="1"/>
                <w:numId w:val="2"/>
              </w:numPr>
            </w:pPr>
            <w:hyperlink r:id="rId8" w:history="1">
              <w:r w:rsidR="000733F6" w:rsidRPr="00E5145E">
                <w:rPr>
                  <w:rFonts w:eastAsia="Times New Roman" w:cs="Tahoma"/>
                  <w:lang w:eastAsia="da-DK"/>
                </w:rPr>
                <w:t>Introduktion og præsentation</w:t>
              </w:r>
            </w:hyperlink>
          </w:p>
          <w:p w14:paraId="4BE7670C" w14:textId="4BCDF55A" w:rsidR="00562F8B" w:rsidRPr="00461784" w:rsidRDefault="007F4819" w:rsidP="004D45C6">
            <w:pPr>
              <w:pStyle w:val="Listeafsnit"/>
              <w:numPr>
                <w:ilvl w:val="1"/>
                <w:numId w:val="2"/>
              </w:numPr>
            </w:pPr>
            <w:r>
              <w:t>Elementær talbehandling, notifikation og anvendelse af formelregner</w:t>
            </w:r>
          </w:p>
          <w:p w14:paraId="4BE7670D" w14:textId="77777777" w:rsidR="00461784" w:rsidRPr="00461784" w:rsidRDefault="00461784" w:rsidP="000733F6">
            <w:pPr>
              <w:pStyle w:val="Listeafsnit"/>
              <w:numPr>
                <w:ilvl w:val="1"/>
                <w:numId w:val="2"/>
              </w:numPr>
            </w:pPr>
            <w:r w:rsidRPr="00461784">
              <w:t>Måling og måleenheder</w:t>
            </w:r>
          </w:p>
          <w:p w14:paraId="4BE7670E" w14:textId="77777777" w:rsidR="00461784" w:rsidRDefault="00C57C57" w:rsidP="000733F6">
            <w:pPr>
              <w:pStyle w:val="Listeafsnit"/>
              <w:numPr>
                <w:ilvl w:val="1"/>
                <w:numId w:val="2"/>
              </w:numPr>
            </w:pPr>
            <w:hyperlink r:id="rId9" w:history="1">
              <w:r w:rsidR="00461784" w:rsidRPr="00E5145E">
                <w:rPr>
                  <w:rFonts w:eastAsia="Times New Roman" w:cs="Tahoma"/>
                  <w:lang w:eastAsia="da-DK"/>
                </w:rPr>
                <w:t>Målestoksforhold</w:t>
              </w:r>
            </w:hyperlink>
          </w:p>
          <w:p w14:paraId="4BE7670F" w14:textId="2922DADC" w:rsidR="00E57B58" w:rsidRPr="00E57B58" w:rsidRDefault="00C57C57" w:rsidP="000733F6">
            <w:pPr>
              <w:pStyle w:val="Listeafsnit"/>
              <w:numPr>
                <w:ilvl w:val="1"/>
                <w:numId w:val="2"/>
              </w:numPr>
            </w:pPr>
            <w:hyperlink r:id="rId10" w:history="1">
              <w:r w:rsidR="000733F6" w:rsidRPr="00E5145E">
                <w:rPr>
                  <w:rFonts w:eastAsia="Times New Roman" w:cs="Tahoma"/>
                  <w:lang w:eastAsia="da-DK"/>
                </w:rPr>
                <w:t>Brøk</w:t>
              </w:r>
            </w:hyperlink>
            <w:r w:rsidR="007F4819">
              <w:rPr>
                <w:rFonts w:eastAsia="Times New Roman" w:cs="Tahoma"/>
                <w:lang w:eastAsia="da-DK"/>
              </w:rPr>
              <w:t>er og decimaltal</w:t>
            </w:r>
          </w:p>
          <w:p w14:paraId="4BE76710" w14:textId="77777777" w:rsidR="00A13855" w:rsidRPr="00461784" w:rsidRDefault="00A13855" w:rsidP="000733F6">
            <w:pPr>
              <w:pStyle w:val="Listeafsnit"/>
              <w:numPr>
                <w:ilvl w:val="1"/>
                <w:numId w:val="2"/>
              </w:numPr>
            </w:pPr>
            <w:r w:rsidRPr="00461784">
              <w:t>Procent- og forholdsregning</w:t>
            </w:r>
          </w:p>
          <w:p w14:paraId="4BE76711" w14:textId="77777777" w:rsidR="00A13855" w:rsidRPr="00461784" w:rsidRDefault="00E57B58" w:rsidP="000733F6">
            <w:pPr>
              <w:pStyle w:val="Listeafsnit"/>
              <w:numPr>
                <w:ilvl w:val="1"/>
                <w:numId w:val="2"/>
              </w:numPr>
            </w:pPr>
            <w:r>
              <w:t>Brug af f</w:t>
            </w:r>
            <w:r w:rsidR="00A13855" w:rsidRPr="00461784">
              <w:t>ormler og ligninger</w:t>
            </w:r>
          </w:p>
          <w:p w14:paraId="4BE76713" w14:textId="77777777" w:rsidR="00B50E69" w:rsidRPr="00176C74" w:rsidRDefault="008D1F51" w:rsidP="001F35C8">
            <w:pPr>
              <w:ind w:left="284"/>
              <w:rPr>
                <w:b/>
              </w:rPr>
            </w:pPr>
            <w:r w:rsidRPr="00176C74">
              <w:rPr>
                <w:b/>
              </w:rPr>
              <w:t>Geometri</w:t>
            </w:r>
          </w:p>
          <w:p w14:paraId="4BE76714" w14:textId="77777777" w:rsidR="00176C74" w:rsidRPr="00176C74" w:rsidRDefault="00C57C57" w:rsidP="00176C74">
            <w:pPr>
              <w:pStyle w:val="Listeafsnit"/>
              <w:numPr>
                <w:ilvl w:val="1"/>
                <w:numId w:val="2"/>
              </w:numPr>
            </w:pPr>
            <w:hyperlink r:id="rId11" w:history="1">
              <w:r w:rsidR="00461784" w:rsidRPr="00E5145E">
                <w:rPr>
                  <w:rFonts w:eastAsia="Times New Roman" w:cs="Tahoma"/>
                  <w:lang w:eastAsia="da-DK"/>
                </w:rPr>
                <w:t>Plangeometri</w:t>
              </w:r>
            </w:hyperlink>
          </w:p>
          <w:p w14:paraId="4BE76715" w14:textId="77777777" w:rsidR="00461784" w:rsidRPr="00176C74" w:rsidRDefault="00C57C57" w:rsidP="000733F6">
            <w:pPr>
              <w:pStyle w:val="Listeafsnit"/>
              <w:numPr>
                <w:ilvl w:val="1"/>
                <w:numId w:val="2"/>
              </w:numPr>
            </w:pPr>
            <w:hyperlink r:id="rId12" w:history="1">
              <w:r w:rsidR="00461784" w:rsidRPr="00E5145E">
                <w:rPr>
                  <w:rFonts w:eastAsia="Times New Roman" w:cs="Tahoma"/>
                  <w:lang w:eastAsia="da-DK"/>
                </w:rPr>
                <w:t>Rumgeometri</w:t>
              </w:r>
            </w:hyperlink>
          </w:p>
          <w:p w14:paraId="4BE76716" w14:textId="77777777" w:rsidR="00176C74" w:rsidRPr="00461784" w:rsidRDefault="00176C74" w:rsidP="000733F6">
            <w:pPr>
              <w:pStyle w:val="Listeafsnit"/>
              <w:numPr>
                <w:ilvl w:val="1"/>
                <w:numId w:val="2"/>
              </w:numPr>
            </w:pPr>
            <w:r>
              <w:rPr>
                <w:rFonts w:eastAsia="Times New Roman" w:cs="Tahoma"/>
                <w:lang w:eastAsia="da-DK"/>
              </w:rPr>
              <w:t>Massefylde</w:t>
            </w:r>
          </w:p>
          <w:p w14:paraId="4BE76717" w14:textId="77777777" w:rsidR="00B50E69" w:rsidRPr="00176C74" w:rsidRDefault="00461784" w:rsidP="00824D14">
            <w:pPr>
              <w:ind w:left="284"/>
              <w:rPr>
                <w:b/>
              </w:rPr>
            </w:pPr>
            <w:r w:rsidRPr="00176C74">
              <w:rPr>
                <w:b/>
              </w:rPr>
              <w:t>Trigonometri</w:t>
            </w:r>
          </w:p>
          <w:p w14:paraId="4BE76718" w14:textId="77777777" w:rsidR="00B50E69" w:rsidRPr="00461784" w:rsidRDefault="00461784" w:rsidP="000733F6">
            <w:pPr>
              <w:pStyle w:val="Listeafsnit"/>
              <w:numPr>
                <w:ilvl w:val="1"/>
                <w:numId w:val="2"/>
              </w:numPr>
            </w:pPr>
            <w:r w:rsidRPr="00461784">
              <w:t>Pythagoras</w:t>
            </w:r>
          </w:p>
          <w:p w14:paraId="4BE76719" w14:textId="77777777" w:rsidR="00F37760" w:rsidRPr="00461784" w:rsidRDefault="00F37760" w:rsidP="00176C74">
            <w:pPr>
              <w:pStyle w:val="Listeafsnit"/>
              <w:numPr>
                <w:ilvl w:val="1"/>
                <w:numId w:val="2"/>
              </w:numPr>
            </w:pPr>
            <w:r w:rsidRPr="00461784">
              <w:t>T</w:t>
            </w:r>
            <w:r w:rsidR="00C15F85" w:rsidRPr="00461784">
              <w:t xml:space="preserve">rigonometri </w:t>
            </w:r>
            <w:r w:rsidRPr="00461784">
              <w:t>i retvinklede trekanter</w:t>
            </w:r>
          </w:p>
          <w:p w14:paraId="4BE7671A" w14:textId="492D5B7B" w:rsidR="00F566DD" w:rsidRPr="00176C74" w:rsidRDefault="00461784" w:rsidP="00824D14">
            <w:pPr>
              <w:ind w:left="284"/>
              <w:rPr>
                <w:b/>
              </w:rPr>
            </w:pPr>
            <w:r w:rsidRPr="00176C74">
              <w:rPr>
                <w:b/>
              </w:rPr>
              <w:t>Erhvervsfaglige</w:t>
            </w:r>
            <w:r w:rsidR="00F37760" w:rsidRPr="00176C74">
              <w:rPr>
                <w:b/>
              </w:rPr>
              <w:t xml:space="preserve"> emne</w:t>
            </w:r>
            <w:r w:rsidR="00176C74">
              <w:rPr>
                <w:b/>
              </w:rPr>
              <w:t>opgaver</w:t>
            </w:r>
          </w:p>
        </w:tc>
      </w:tr>
      <w:tr w:rsidR="00176C74" w:rsidRPr="00F63303" w14:paraId="4BE76726" w14:textId="77777777" w:rsidTr="00176C74">
        <w:trPr>
          <w:trHeight w:val="3045"/>
        </w:trPr>
        <w:tc>
          <w:tcPr>
            <w:tcW w:w="9778" w:type="dxa"/>
          </w:tcPr>
          <w:p w14:paraId="4BE7671C" w14:textId="77777777" w:rsidR="00176C74" w:rsidRPr="00824D14" w:rsidRDefault="00176C74" w:rsidP="00F566DD">
            <w:pPr>
              <w:rPr>
                <w:b/>
                <w:u w:val="single"/>
              </w:rPr>
            </w:pPr>
            <w:r w:rsidRPr="00824D14">
              <w:rPr>
                <w:b/>
                <w:u w:val="single"/>
              </w:rPr>
              <w:lastRenderedPageBreak/>
              <w:t>Evaluering:</w:t>
            </w:r>
          </w:p>
          <w:p w14:paraId="4BE7671D" w14:textId="77777777" w:rsidR="00176C74" w:rsidRPr="00461784" w:rsidRDefault="00176C74" w:rsidP="00F566DD"/>
          <w:p w14:paraId="4BE7671E" w14:textId="77777777" w:rsidR="00C15F85" w:rsidRPr="00461784" w:rsidRDefault="00C15F85" w:rsidP="00F566DD">
            <w:r w:rsidRPr="00461784">
              <w:t>Grundlaget for den lø</w:t>
            </w:r>
            <w:r w:rsidR="009D6BF2">
              <w:t>bende evaluering</w:t>
            </w:r>
            <w:r w:rsidRPr="00461784">
              <w:t xml:space="preserve"> er elevernes arbejde </w:t>
            </w:r>
            <w:r w:rsidR="00176C74">
              <w:t>med skriftlige gruppe/individuelle opgaver indenfor de forskellige emner</w:t>
            </w:r>
            <w:r w:rsidRPr="00461784">
              <w:t xml:space="preserve">. </w:t>
            </w:r>
          </w:p>
          <w:p w14:paraId="4BE7671F" w14:textId="5A39A10D" w:rsidR="00F566DD" w:rsidRPr="00461784" w:rsidRDefault="00D97631" w:rsidP="00F566DD">
            <w:r w:rsidRPr="00461784">
              <w:t xml:space="preserve">Alle elever modtager individuel </w:t>
            </w:r>
            <w:r w:rsidR="00176C74">
              <w:t>vejledning/</w:t>
            </w:r>
            <w:r w:rsidRPr="00461784">
              <w:t>evaluering. D</w:t>
            </w:r>
            <w:r w:rsidR="00C15F85" w:rsidRPr="00461784">
              <w:t>els</w:t>
            </w:r>
            <w:r w:rsidRPr="00461784">
              <w:t xml:space="preserve"> i forhold til det faglige udbytte</w:t>
            </w:r>
            <w:r w:rsidR="00B50E69" w:rsidRPr="00461784">
              <w:t xml:space="preserve"> (</w:t>
            </w:r>
            <w:proofErr w:type="spellStart"/>
            <w:r w:rsidR="00B50E69" w:rsidRPr="00461784">
              <w:t>summativ</w:t>
            </w:r>
            <w:proofErr w:type="spellEnd"/>
            <w:r w:rsidR="00B50E69" w:rsidRPr="00461784">
              <w:t xml:space="preserve"> evaluering) og dels den enkelte elevs </w:t>
            </w:r>
            <w:r w:rsidR="009D6BF2">
              <w:t xml:space="preserve">tilgang til </w:t>
            </w:r>
            <w:bookmarkStart w:id="0" w:name="_GoBack"/>
            <w:bookmarkEnd w:id="0"/>
            <w:r w:rsidRPr="00461784">
              <w:t>og arbejde med det faglig</w:t>
            </w:r>
            <w:r w:rsidR="00176C74">
              <w:t>e</w:t>
            </w:r>
            <w:r w:rsidRPr="00461784">
              <w:t xml:space="preserve"> stof</w:t>
            </w:r>
            <w:r w:rsidR="00B50E69" w:rsidRPr="00461784">
              <w:t xml:space="preserve"> </w:t>
            </w:r>
            <w:r w:rsidRPr="00461784">
              <w:t>(formativ evaluering)</w:t>
            </w:r>
            <w:r w:rsidR="00B50E69" w:rsidRPr="00461784">
              <w:t>.</w:t>
            </w:r>
            <w:r w:rsidRPr="00461784">
              <w:t xml:space="preserve"> </w:t>
            </w:r>
          </w:p>
          <w:p w14:paraId="4BE76720" w14:textId="77777777" w:rsidR="00D97631" w:rsidRPr="00461784" w:rsidRDefault="00432DA7" w:rsidP="00F566DD">
            <w:r w:rsidRPr="00461784">
              <w:t>Midt</w:t>
            </w:r>
            <w:r w:rsidR="00176C74">
              <w:t xml:space="preserve">vejs i forløbet afholdes </w:t>
            </w:r>
            <w:r w:rsidR="00D97631" w:rsidRPr="00461784">
              <w:t>der en midtvejsprøve, med det formål at kortlæg</w:t>
            </w:r>
            <w:r w:rsidR="00176C74">
              <w:t>ge elevernes faglige standpunkt.</w:t>
            </w:r>
          </w:p>
          <w:p w14:paraId="4BE76721" w14:textId="77777777" w:rsidR="002E3A34" w:rsidRPr="00461784" w:rsidRDefault="002E3A34" w:rsidP="00F566DD"/>
          <w:p w14:paraId="4BE76722" w14:textId="77777777" w:rsidR="00F566DD" w:rsidRPr="00461784" w:rsidRDefault="00432DA7" w:rsidP="00F566DD">
            <w:r w:rsidRPr="00461784">
              <w:t xml:space="preserve">Slutevaluering: </w:t>
            </w:r>
            <w:r w:rsidR="009D6BF2">
              <w:t>Elevens samlede dokumentation og standpunkt evalueres o</w:t>
            </w:r>
            <w:r w:rsidR="00F77134">
              <w:t>g</w:t>
            </w:r>
            <w:r w:rsidR="009D6BF2">
              <w:t xml:space="preserve"> d</w:t>
            </w:r>
            <w:r w:rsidRPr="00461784">
              <w:t>er gives en standpunktskarakter efter 7-trinsskalaen</w:t>
            </w:r>
            <w:r w:rsidR="009D6BF2">
              <w:t>.</w:t>
            </w:r>
          </w:p>
          <w:p w14:paraId="4BE76723" w14:textId="77777777" w:rsidR="00176C74" w:rsidRDefault="00176C74" w:rsidP="00F566DD"/>
          <w:p w14:paraId="4BE76724" w14:textId="77777777" w:rsidR="00432DA7" w:rsidRPr="00461784" w:rsidRDefault="00432DA7" w:rsidP="00F566DD">
            <w:r w:rsidRPr="00461784">
              <w:t>Eksamen: Der afholdes eksamen i faget efter gældende bekendtgørelser</w:t>
            </w:r>
            <w:r w:rsidR="002E3A34" w:rsidRPr="00461784">
              <w:t>.</w:t>
            </w:r>
          </w:p>
          <w:p w14:paraId="4BE76725" w14:textId="77777777" w:rsidR="00F566DD" w:rsidRPr="00461784" w:rsidRDefault="00F566DD" w:rsidP="00F566DD"/>
        </w:tc>
      </w:tr>
    </w:tbl>
    <w:p w14:paraId="4BE76727" w14:textId="77777777" w:rsidR="004E4EC7" w:rsidRPr="00F63303" w:rsidRDefault="004E4EC7">
      <w:pPr>
        <w:rPr>
          <w:color w:val="00B050"/>
        </w:rPr>
      </w:pPr>
    </w:p>
    <w:sectPr w:rsidR="004E4EC7" w:rsidRPr="00F63303" w:rsidSect="00176C74">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793E7D"/>
    <w:multiLevelType w:val="hybridMultilevel"/>
    <w:tmpl w:val="F3ACB7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329AA"/>
    <w:rsid w:val="000733F6"/>
    <w:rsid w:val="000D2EB8"/>
    <w:rsid w:val="00176C74"/>
    <w:rsid w:val="001F35C8"/>
    <w:rsid w:val="00203AC9"/>
    <w:rsid w:val="0027152E"/>
    <w:rsid w:val="002E3A34"/>
    <w:rsid w:val="0040506E"/>
    <w:rsid w:val="00432DA7"/>
    <w:rsid w:val="00461784"/>
    <w:rsid w:val="00492597"/>
    <w:rsid w:val="004E4EC7"/>
    <w:rsid w:val="00537B3E"/>
    <w:rsid w:val="00562F8B"/>
    <w:rsid w:val="00634E84"/>
    <w:rsid w:val="0064371B"/>
    <w:rsid w:val="006A5CBB"/>
    <w:rsid w:val="00772D09"/>
    <w:rsid w:val="007F4819"/>
    <w:rsid w:val="00824D14"/>
    <w:rsid w:val="00841344"/>
    <w:rsid w:val="008606DC"/>
    <w:rsid w:val="008D1F51"/>
    <w:rsid w:val="00963A7A"/>
    <w:rsid w:val="00987F53"/>
    <w:rsid w:val="009D6BF2"/>
    <w:rsid w:val="009E24FD"/>
    <w:rsid w:val="00A13855"/>
    <w:rsid w:val="00B4723A"/>
    <w:rsid w:val="00B50E69"/>
    <w:rsid w:val="00BF1F66"/>
    <w:rsid w:val="00C15F85"/>
    <w:rsid w:val="00C22276"/>
    <w:rsid w:val="00C26425"/>
    <w:rsid w:val="00C57C57"/>
    <w:rsid w:val="00CE5CF7"/>
    <w:rsid w:val="00D97631"/>
    <w:rsid w:val="00E57B58"/>
    <w:rsid w:val="00EB5A4B"/>
    <w:rsid w:val="00F26099"/>
    <w:rsid w:val="00F37760"/>
    <w:rsid w:val="00F566DD"/>
    <w:rsid w:val="00F63303"/>
    <w:rsid w:val="00F771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66F1"/>
  <w15:docId w15:val="{9E764230-BEB3-4260-9D51-0E77CF8B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26881">
      <w:bodyDiv w:val="1"/>
      <w:marLeft w:val="0"/>
      <w:marRight w:val="0"/>
      <w:marTop w:val="0"/>
      <w:marBottom w:val="0"/>
      <w:divBdr>
        <w:top w:val="none" w:sz="0" w:space="0" w:color="auto"/>
        <w:left w:val="none" w:sz="0" w:space="0" w:color="auto"/>
        <w:bottom w:val="none" w:sz="0" w:space="0" w:color="auto"/>
        <w:right w:val="none" w:sz="0" w:space="0" w:color="auto"/>
      </w:divBdr>
    </w:div>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e.learnmark.dk/sjo/matematik/mu/introduktion.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e.learnmark.dk/sjo/matematik/indgange/2016_foraar/st-br/opg4_rumgeo_st_v2.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e.learnmark.dk/sjo/matematik/indgange/2016_foraar/st-br/opg3_plangeo_st.htm" TargetMode="External"/><Relationship Id="rId5" Type="http://schemas.openxmlformats.org/officeDocument/2006/relationships/styles" Target="styles.xml"/><Relationship Id="rId10" Type="http://schemas.openxmlformats.org/officeDocument/2006/relationships/hyperlink" Target="http://personale.learnmark.dk/sjo/matematik/emner/broeker.htm" TargetMode="External"/><Relationship Id="rId4" Type="http://schemas.openxmlformats.org/officeDocument/2006/relationships/numbering" Target="numbering.xml"/><Relationship Id="rId9" Type="http://schemas.openxmlformats.org/officeDocument/2006/relationships/hyperlink" Target="http://personale.learnmark.dk/sjo/matematik/emner/maalestok.htm"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AC57EDC314974FBF9B01E775BCB0B4" ma:contentTypeVersion="15" ma:contentTypeDescription="Opret et nyt dokument." ma:contentTypeScope="" ma:versionID="6d7e4ea4d747f7a23531e2b8a36046f9">
  <xsd:schema xmlns:xsd="http://www.w3.org/2001/XMLSchema" xmlns:xs="http://www.w3.org/2001/XMLSchema" xmlns:p="http://schemas.microsoft.com/office/2006/metadata/properties" xmlns:ns1="http://schemas.microsoft.com/sharepoint/v3" xmlns:ns3="18fe915c-8961-4a68-ac35-6f2310471d1f" xmlns:ns4="86d55472-f1db-4bc8-bbc9-1d084a58d008" targetNamespace="http://schemas.microsoft.com/office/2006/metadata/properties" ma:root="true" ma:fieldsID="4b876e3eb6a919b6b2ceced59dd372d0" ns1:_="" ns3:_="" ns4:_="">
    <xsd:import namespace="http://schemas.microsoft.com/sharepoint/v3"/>
    <xsd:import namespace="18fe915c-8961-4a68-ac35-6f2310471d1f"/>
    <xsd:import namespace="86d55472-f1db-4bc8-bbc9-1d084a58d008"/>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ber for Unified Compliance Policy" ma:hidden="true" ma:internalName="_ip_UnifiedCompliancePolicyProperties">
      <xsd:simpleType>
        <xsd:restriction base="dms:Note"/>
      </xsd:simpleType>
    </xsd:element>
    <xsd:element name="_ip_UnifiedCompliancePolicyUIAction" ma:index="12" nillable="true" ma:displayName="Handling for Unified Compliance Policy-grænseflade"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e915c-8961-4a68-ac35-6f2310471d1f"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55472-f1db-4bc8-bbc9-1d084a58d00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FCFA268-502D-4381-9133-92E7628FF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fe915c-8961-4a68-ac35-6f2310471d1f"/>
    <ds:schemaRef ds:uri="86d55472-f1db-4bc8-bbc9-1d084a58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6C319-DA46-4359-B175-2E6F89940543}">
  <ds:schemaRefs>
    <ds:schemaRef ds:uri="http://schemas.microsoft.com/sharepoint/v3/contenttype/forms"/>
  </ds:schemaRefs>
</ds:datastoreItem>
</file>

<file path=customXml/itemProps3.xml><?xml version="1.0" encoding="utf-8"?>
<ds:datastoreItem xmlns:ds="http://schemas.openxmlformats.org/officeDocument/2006/customXml" ds:itemID="{0CE23844-54B4-48AA-A43C-FA99960B77EC}">
  <ds:schemaRefs>
    <ds:schemaRef ds:uri="http://schemas.openxmlformats.org/package/2006/metadata/core-properties"/>
    <ds:schemaRef ds:uri="http://purl.org/dc/elements/1.1/"/>
    <ds:schemaRef ds:uri="http://purl.org/dc/dcmitype/"/>
    <ds:schemaRef ds:uri="18fe915c-8961-4a68-ac35-6f2310471d1f"/>
    <ds:schemaRef ds:uri="http://schemas.microsoft.com/office/infopath/2007/PartnerControls"/>
    <ds:schemaRef ds:uri="http://schemas.microsoft.com/office/2006/documentManagement/types"/>
    <ds:schemaRef ds:uri="86d55472-f1db-4bc8-bbc9-1d084a58d008"/>
    <ds:schemaRef ds:uri="http://schemas.microsoft.com/sharepoint/v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Ole Bundgaard (OBB - Underviser - VJ - LMH)</cp:lastModifiedBy>
  <cp:revision>3</cp:revision>
  <cp:lastPrinted>2016-04-27T11:14:00Z</cp:lastPrinted>
  <dcterms:created xsi:type="dcterms:W3CDTF">2021-02-04T07:47:00Z</dcterms:created>
  <dcterms:modified xsi:type="dcterms:W3CDTF">2021-02-04T07:48:00Z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0x0101008FAC57EDC314974FBF9B01E775BCB0B4</vt:lpwstr>
  </property>
</Properties>
</file>